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400"/>
        <w:jc w:val="center"/>
      </w:pPr>
      <w:r>
        <w:rPr>
          <w:rFonts w:ascii="Arial" w:cs="Arial" w:eastAsia="Arial" w:hAnsi="Arial"/>
          <w:color w:val="222222"/>
          <w:sz w:val="36"/>
          <w:szCs w:val="36"/>
        </w:rPr>
        <w:t xml:space="preserve">Client Terms &amp; Conditions</w:t>
      </w:r>
    </w:p>
    <w:p>
      <w:pPr>
        <w:spacing w:after="40"/>
      </w:pPr>
    </w:p>
    <w:p>
      <w:pPr>
        <w:spacing w:after="40"/>
      </w:pPr>
    </w:p>
    <w:tbl>
      <w:tblPr>
        <w:tblW w:type="dxa" w:w="5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Document Reference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QCP-TC-001</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Version</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1.0</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Effective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Review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2027</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Approved By</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Adrian Moyo, Director</w:t>
            </w:r>
          </w:p>
        </w:tc>
      </w:tr>
    </w:tbl>
    <w:p>
      <w:r>
        <w:br w:type="page"/>
      </w:r>
    </w:p>
    <w:p>
      <w:pPr>
        <w:pStyle w:val="Heading1"/>
        <w:spacing w:after="200" w:before="360"/>
      </w:pPr>
      <w:r>
        <w:rPr>
          <w:rFonts w:ascii="Arial" w:cs="Arial" w:eastAsia="Arial" w:hAnsi="Arial"/>
          <w:b/>
          <w:bCs/>
          <w:color w:val="00838F"/>
          <w:sz w:val="32"/>
          <w:szCs w:val="32"/>
        </w:rPr>
        <w:t xml:space="preserve">1. Definitions</w:t>
      </w:r>
    </w:p>
    <w:p>
      <w:pPr>
        <w:pStyle w:val="ListParagraph"/>
        <w:numPr>
          <w:ilvl w:val="0"/>
          <w:numId w:val="2"/>
        </w:numPr>
        <w:spacing w:after="80"/>
      </w:pPr>
      <w:r>
        <w:rPr>
          <w:rFonts w:ascii="Arial" w:cs="Arial" w:eastAsia="Arial" w:hAnsi="Arial"/>
          <w:color w:val="222222"/>
          <w:sz w:val="22"/>
          <w:szCs w:val="22"/>
        </w:rPr>
        <w:t xml:space="preserve">"QCP" means Quality Care Partners Ltd (Co. No. 16916906)</w:t>
      </w:r>
    </w:p>
    <w:p>
      <w:pPr>
        <w:pStyle w:val="ListParagraph"/>
        <w:numPr>
          <w:ilvl w:val="0"/>
          <w:numId w:val="2"/>
        </w:numPr>
        <w:spacing w:after="80"/>
      </w:pPr>
      <w:r>
        <w:rPr>
          <w:rFonts w:ascii="Arial" w:cs="Arial" w:eastAsia="Arial" w:hAnsi="Arial"/>
          <w:color w:val="222222"/>
          <w:sz w:val="22"/>
          <w:szCs w:val="22"/>
        </w:rPr>
        <w:t xml:space="preserve">"Client" means the care home engaging QCP's services</w:t>
      </w:r>
    </w:p>
    <w:p>
      <w:pPr>
        <w:pStyle w:val="ListParagraph"/>
        <w:numPr>
          <w:ilvl w:val="0"/>
          <w:numId w:val="2"/>
        </w:numPr>
        <w:spacing w:after="80"/>
      </w:pPr>
      <w:r>
        <w:rPr>
          <w:rFonts w:ascii="Arial" w:cs="Arial" w:eastAsia="Arial" w:hAnsi="Arial"/>
          <w:color w:val="222222"/>
          <w:sz w:val="22"/>
          <w:szCs w:val="22"/>
        </w:rPr>
        <w:t xml:space="preserve">"Worker" means any HCA or Support Worker supplied by QCP</w:t>
      </w:r>
    </w:p>
    <w:p>
      <w:pPr>
        <w:pStyle w:val="Heading1"/>
        <w:spacing w:after="200" w:before="360"/>
      </w:pPr>
      <w:r>
        <w:rPr>
          <w:rFonts w:ascii="Arial" w:cs="Arial" w:eastAsia="Arial" w:hAnsi="Arial"/>
          <w:b/>
          <w:bCs/>
          <w:color w:val="00838F"/>
          <w:sz w:val="32"/>
          <w:szCs w:val="32"/>
        </w:rPr>
        <w:t xml:space="preserve">2. Services</w:t>
      </w:r>
    </w:p>
    <w:p>
      <w:pPr>
        <w:spacing w:after="120"/>
      </w:pPr>
      <w:r>
        <w:rPr>
          <w:rFonts w:ascii="Arial" w:cs="Arial" w:eastAsia="Arial" w:hAnsi="Arial"/>
          <w:color w:val="222222"/>
          <w:sz w:val="22"/>
          <w:szCs w:val="22"/>
        </w:rPr>
        <w:t xml:space="preserve">QCP provides temporary staffing on a shift-by-shift basis. All Workers are employed by QCP as PAYE employees.</w:t>
      </w:r>
    </w:p>
    <w:p>
      <w:pPr>
        <w:pStyle w:val="Heading1"/>
        <w:spacing w:after="200" w:before="360"/>
      </w:pPr>
      <w:r>
        <w:rPr>
          <w:rFonts w:ascii="Arial" w:cs="Arial" w:eastAsia="Arial" w:hAnsi="Arial"/>
          <w:b/>
          <w:bCs/>
          <w:color w:val="00838F"/>
          <w:sz w:val="32"/>
          <w:szCs w:val="32"/>
        </w:rPr>
        <w:t xml:space="preserve">3. Charge Rates</w:t>
      </w:r>
    </w:p>
    <w:p>
      <w:pPr>
        <w:pStyle w:val="ListParagraph"/>
        <w:numPr>
          <w:ilvl w:val="0"/>
          <w:numId w:val="2"/>
        </w:numPr>
        <w:spacing w:after="80"/>
      </w:pPr>
      <w:r>
        <w:rPr>
          <w:rFonts w:ascii="Arial" w:cs="Arial" w:eastAsia="Arial" w:hAnsi="Arial"/>
          <w:color w:val="222222"/>
          <w:sz w:val="22"/>
          <w:szCs w:val="22"/>
        </w:rPr>
        <w:t xml:space="preserve">HCA Day: £19.50/hr | Night: £20.50/hr | Weekend: £21.50/hr | Emergency: £23.50/hr</w:t>
      </w:r>
    </w:p>
    <w:p>
      <w:pPr>
        <w:pStyle w:val="ListParagraph"/>
        <w:numPr>
          <w:ilvl w:val="0"/>
          <w:numId w:val="2"/>
        </w:numPr>
        <w:spacing w:after="80"/>
      </w:pPr>
      <w:r>
        <w:rPr>
          <w:rFonts w:ascii="Arial" w:cs="Arial" w:eastAsia="Arial" w:hAnsi="Arial"/>
          <w:color w:val="222222"/>
          <w:sz w:val="22"/>
          <w:szCs w:val="22"/>
        </w:rPr>
        <w:t xml:space="preserve">Support Worker Day: £19.00/hr | Night: £20.00/hr | Weekend: £21.00/hr | Emergency: £23.00/hr</w:t>
      </w:r>
    </w:p>
    <w:p>
      <w:pPr>
        <w:spacing w:after="120"/>
      </w:pPr>
      <w:r>
        <w:rPr>
          <w:rFonts w:ascii="Arial" w:cs="Arial" w:eastAsia="Arial" w:hAnsi="Arial"/>
          <w:color w:val="222222"/>
          <w:sz w:val="22"/>
          <w:szCs w:val="22"/>
        </w:rPr>
        <w:t xml:space="preserve">Rates subject to review with 30 days' written notice.</w:t>
      </w:r>
    </w:p>
    <w:p>
      <w:pPr>
        <w:pStyle w:val="Heading1"/>
        <w:spacing w:after="200" w:before="360"/>
      </w:pPr>
      <w:r>
        <w:rPr>
          <w:rFonts w:ascii="Arial" w:cs="Arial" w:eastAsia="Arial" w:hAnsi="Arial"/>
          <w:b/>
          <w:bCs/>
          <w:color w:val="00838F"/>
          <w:sz w:val="32"/>
          <w:szCs w:val="32"/>
        </w:rPr>
        <w:t xml:space="preserve">4. Booking and Cancellation</w:t>
      </w:r>
    </w:p>
    <w:p>
      <w:pPr>
        <w:spacing w:after="120"/>
      </w:pPr>
      <w:r>
        <w:rPr>
          <w:rFonts w:ascii="Arial" w:cs="Arial" w:eastAsia="Arial" w:hAnsi="Arial"/>
          <w:color w:val="222222"/>
          <w:sz w:val="22"/>
          <w:szCs w:val="22"/>
        </w:rPr>
        <w:t xml:space="preserve">Bookings may be made via the QCP Client Portal, telephone, or email. Once a Booking is confirmed, the following cancellation terms apply:</w:t>
      </w:r>
    </w:p>
    <w:p>
      <w:pPr>
        <w:pStyle w:val="ListParagraph"/>
        <w:numPr>
          <w:ilvl w:val="0"/>
          <w:numId w:val="2"/>
        </w:numPr>
        <w:spacing w:after="80"/>
      </w:pPr>
      <w:r>
        <w:rPr>
          <w:rFonts w:ascii="Arial" w:cs="Arial" w:eastAsia="Arial" w:hAnsi="Arial"/>
          <w:color w:val="222222"/>
          <w:sz w:val="22"/>
          <w:szCs w:val="22"/>
        </w:rPr>
        <w:t xml:space="preserve">4 or more hours' notice: no charge</w:t>
      </w:r>
    </w:p>
    <w:p>
      <w:pPr>
        <w:pStyle w:val="ListParagraph"/>
        <w:numPr>
          <w:ilvl w:val="0"/>
          <w:numId w:val="2"/>
        </w:numPr>
        <w:spacing w:after="80"/>
      </w:pPr>
      <w:r>
        <w:rPr>
          <w:rFonts w:ascii="Arial" w:cs="Arial" w:eastAsia="Arial" w:hAnsi="Arial"/>
          <w:color w:val="222222"/>
          <w:sz w:val="22"/>
          <w:szCs w:val="22"/>
        </w:rPr>
        <w:t xml:space="preserve">Less than 4 hours' notice: 50% of the Booking value</w:t>
      </w:r>
    </w:p>
    <w:p>
      <w:pPr>
        <w:pStyle w:val="ListParagraph"/>
        <w:numPr>
          <w:ilvl w:val="0"/>
          <w:numId w:val="2"/>
        </w:numPr>
        <w:spacing w:after="80"/>
      </w:pPr>
      <w:r>
        <w:rPr>
          <w:rFonts w:ascii="Arial" w:cs="Arial" w:eastAsia="Arial" w:hAnsi="Arial"/>
          <w:color w:val="222222"/>
          <w:sz w:val="22"/>
          <w:szCs w:val="22"/>
        </w:rPr>
        <w:t xml:space="preserve">No-show by the Client (failure to provide access or work for the Worker): 100% of the Booking value</w:t>
      </w:r>
    </w:p>
    <w:p>
      <w:pPr>
        <w:spacing w:after="120"/>
      </w:pPr>
      <w:r>
        <w:rPr>
          <w:rFonts w:ascii="Arial" w:cs="Arial" w:eastAsia="Arial" w:hAnsi="Arial"/>
          <w:color w:val="222222"/>
          <w:sz w:val="22"/>
          <w:szCs w:val="22"/>
        </w:rPr>
        <w:t xml:space="preserve">Where a cancellation charge applies, the Worker who had accepted the shift will be paid for that shift. This protects Workers who have already arranged their day, or travelled, around a confirmed booking. The charge levied on the Client funds that payment.</w:t>
      </w:r>
    </w:p>
    <w:p>
      <w:pPr>
        <w:spacing w:after="120"/>
      </w:pPr>
      <w:r>
        <w:rPr>
          <w:rFonts w:ascii="Arial" w:cs="Arial" w:eastAsia="Arial" w:hAnsi="Arial"/>
          <w:color w:val="222222"/>
          <w:sz w:val="22"/>
          <w:szCs w:val="22"/>
        </w:rPr>
        <w:t xml:space="preserve">All cancellations — by the Client, by the Worker, or by QCP — are recorded in QCP's cancellation register with the date, time, notice period given, reason, and any charge applied. This register is retained for audit purposes and is available to the Client on request.</w:t>
      </w:r>
    </w:p>
    <w:p>
      <w:pPr>
        <w:spacing w:after="120"/>
      </w:pPr>
      <w:r>
        <w:rPr>
          <w:rFonts w:ascii="Arial" w:cs="Arial" w:eastAsia="Arial" w:hAnsi="Arial"/>
          <w:color w:val="222222"/>
          <w:sz w:val="22"/>
          <w:szCs w:val="22"/>
        </w:rPr>
        <w:t xml:space="preserve">QCP monitors cancellation patterns on both sides. Repeated late cancellation by a Client may result in a review of the account. Repeated cancellation by a Worker results in suspension from the platform.</w:t>
      </w:r>
    </w:p>
    <w:p>
      <w:pPr>
        <w:pStyle w:val="Heading1"/>
        <w:spacing w:after="200" w:before="360"/>
      </w:pPr>
      <w:r>
        <w:rPr>
          <w:rFonts w:ascii="Arial" w:cs="Arial" w:eastAsia="Arial" w:hAnsi="Arial"/>
          <w:b/>
          <w:bCs/>
          <w:color w:val="00838F"/>
          <w:sz w:val="32"/>
          <w:szCs w:val="32"/>
        </w:rPr>
        <w:t xml:space="preserve">5. If a Worker Cancels</w:t>
      </w:r>
    </w:p>
    <w:p>
      <w:pPr>
        <w:spacing w:after="120"/>
      </w:pPr>
      <w:r>
        <w:rPr>
          <w:rFonts w:ascii="Arial" w:cs="Arial" w:eastAsia="Arial" w:hAnsi="Arial"/>
          <w:color w:val="222222"/>
          <w:sz w:val="22"/>
          <w:szCs w:val="22"/>
        </w:rPr>
        <w:t xml:space="preserve">Occasionally a Worker will be unable to attend a shift they have accepted. When this happens QCP will:</w:t>
      </w:r>
    </w:p>
    <w:p>
      <w:pPr>
        <w:pStyle w:val="ListParagraph"/>
        <w:numPr>
          <w:ilvl w:val="0"/>
          <w:numId w:val="2"/>
        </w:numPr>
        <w:spacing w:after="80"/>
      </w:pPr>
      <w:r>
        <w:rPr>
          <w:rFonts w:ascii="Arial" w:cs="Arial" w:eastAsia="Arial" w:hAnsi="Arial"/>
          <w:color w:val="222222"/>
          <w:sz w:val="22"/>
          <w:szCs w:val="22"/>
        </w:rPr>
        <w:t xml:space="preserve">Notify the Client immediately by email — you will not find out when nobody arrives</w:t>
      </w:r>
    </w:p>
    <w:p>
      <w:pPr>
        <w:pStyle w:val="ListParagraph"/>
        <w:numPr>
          <w:ilvl w:val="0"/>
          <w:numId w:val="2"/>
        </w:numPr>
        <w:spacing w:after="80"/>
      </w:pPr>
      <w:r>
        <w:rPr>
          <w:rFonts w:ascii="Arial" w:cs="Arial" w:eastAsia="Arial" w:hAnsi="Arial"/>
          <w:color w:val="222222"/>
          <w:sz w:val="22"/>
          <w:szCs w:val="22"/>
        </w:rPr>
        <w:t xml:space="preserve">Release the shift instantly to every available Worker, bypassing our normal staged release process</w:t>
      </w:r>
    </w:p>
    <w:p>
      <w:pPr>
        <w:pStyle w:val="ListParagraph"/>
        <w:numPr>
          <w:ilvl w:val="0"/>
          <w:numId w:val="2"/>
        </w:numPr>
        <w:spacing w:after="80"/>
      </w:pPr>
      <w:r>
        <w:rPr>
          <w:rFonts w:ascii="Arial" w:cs="Arial" w:eastAsia="Arial" w:hAnsi="Arial"/>
          <w:color w:val="222222"/>
          <w:sz w:val="22"/>
          <w:szCs w:val="22"/>
        </w:rPr>
        <w:t xml:space="preserve">Telephone the Client directly where the cancellation is within 4 hours of the shift start and cover has not been secured</w:t>
      </w:r>
    </w:p>
    <w:p>
      <w:pPr>
        <w:spacing w:after="120"/>
      </w:pPr>
      <w:r>
        <w:rPr>
          <w:rFonts w:ascii="Arial" w:cs="Arial" w:eastAsia="Arial" w:hAnsi="Arial"/>
          <w:color w:val="222222"/>
          <w:sz w:val="22"/>
          <w:szCs w:val="22"/>
        </w:rPr>
        <w:t xml:space="preserve">QCP records every cancellation against the Worker. Workers who repeatedly cancel at short notice lose priority access to shifts and are subject to suspension review. Cancellation records are available to the Client on request.</w:t>
      </w:r>
    </w:p>
    <w:p>
      <w:pPr>
        <w:spacing w:after="120"/>
      </w:pPr>
      <w:r>
        <w:rPr>
          <w:rFonts w:ascii="Arial" w:cs="Arial" w:eastAsia="Arial" w:hAnsi="Arial"/>
          <w:color w:val="222222"/>
          <w:sz w:val="22"/>
          <w:szCs w:val="22"/>
        </w:rPr>
        <w:t xml:space="preserve">No charge is made to the Client for a shift a Worker cancels, whether or not a replacement is found.</w:t>
      </w:r>
    </w:p>
    <w:p>
      <w:pPr>
        <w:pStyle w:val="Heading1"/>
        <w:spacing w:after="200" w:before="360"/>
      </w:pPr>
      <w:r>
        <w:rPr>
          <w:rFonts w:ascii="Arial" w:cs="Arial" w:eastAsia="Arial" w:hAnsi="Arial"/>
          <w:b/>
          <w:bCs/>
          <w:color w:val="00838F"/>
          <w:sz w:val="32"/>
          <w:szCs w:val="32"/>
        </w:rPr>
        <w:t xml:space="preserve">6. Invoicing and Payment</w:t>
      </w:r>
    </w:p>
    <w:p>
      <w:pPr>
        <w:spacing w:after="120"/>
      </w:pPr>
      <w:r>
        <w:rPr>
          <w:rFonts w:ascii="Arial" w:cs="Arial" w:eastAsia="Arial" w:hAnsi="Arial"/>
          <w:color w:val="222222"/>
          <w:sz w:val="22"/>
          <w:szCs w:val="22"/>
        </w:rPr>
        <w:t xml:space="preserve">Invoices issued weekly. Payment due within 7 days. Late payment incurs interest at 8% above Bank of England base rate per the Late Payment of Commercial Debts (Interest) Act 1998.</w:t>
      </w:r>
    </w:p>
    <w:p>
      <w:pPr>
        <w:pStyle w:val="Heading1"/>
        <w:spacing w:after="200" w:before="360"/>
      </w:pPr>
      <w:r>
        <w:rPr>
          <w:rFonts w:ascii="Arial" w:cs="Arial" w:eastAsia="Arial" w:hAnsi="Arial"/>
          <w:b/>
          <w:bCs/>
          <w:color w:val="00838F"/>
          <w:sz w:val="32"/>
          <w:szCs w:val="32"/>
        </w:rPr>
        <w:t xml:space="preserve">7. Compliance</w:t>
      </w:r>
    </w:p>
    <w:p>
      <w:pPr>
        <w:spacing w:after="120"/>
      </w:pPr>
      <w:r>
        <w:rPr>
          <w:rFonts w:ascii="Arial" w:cs="Arial" w:eastAsia="Arial" w:hAnsi="Arial"/>
          <w:color w:val="222222"/>
          <w:sz w:val="22"/>
          <w:szCs w:val="22"/>
        </w:rPr>
        <w:t xml:space="preserve">QCP warrants all Workers have undergone pre-employment checks as detailed in the QCP Compliance Pack.</w:t>
      </w:r>
    </w:p>
    <w:p>
      <w:pPr>
        <w:pStyle w:val="Heading1"/>
        <w:spacing w:after="200" w:before="360"/>
      </w:pPr>
      <w:r>
        <w:rPr>
          <w:rFonts w:ascii="Arial" w:cs="Arial" w:eastAsia="Arial" w:hAnsi="Arial"/>
          <w:b/>
          <w:bCs/>
          <w:color w:val="00838F"/>
          <w:sz w:val="32"/>
          <w:szCs w:val="32"/>
        </w:rPr>
        <w:t xml:space="preserve">8. Liability</w:t>
      </w:r>
    </w:p>
    <w:p>
      <w:pPr>
        <w:spacing w:after="120"/>
      </w:pPr>
      <w:r>
        <w:rPr>
          <w:rFonts w:ascii="Arial" w:cs="Arial" w:eastAsia="Arial" w:hAnsi="Arial"/>
          <w:color w:val="222222"/>
          <w:sz w:val="22"/>
          <w:szCs w:val="22"/>
        </w:rPr>
        <w:t xml:space="preserve">QCP maintains Employers' Liability (£10m), Public Liability (£5m), and Professional Indemnity Insurance. Total liability shall not exceed charges paid in the preceding 12 months.</w:t>
      </w:r>
    </w:p>
    <w:p>
      <w:pPr>
        <w:pStyle w:val="Heading1"/>
        <w:spacing w:after="200" w:before="360"/>
      </w:pPr>
      <w:r>
        <w:rPr>
          <w:rFonts w:ascii="Arial" w:cs="Arial" w:eastAsia="Arial" w:hAnsi="Arial"/>
          <w:b/>
          <w:bCs/>
          <w:color w:val="00838F"/>
          <w:sz w:val="32"/>
          <w:szCs w:val="32"/>
        </w:rPr>
        <w:t xml:space="preserve">9. Transfer Fees</w:t>
      </w:r>
    </w:p>
    <w:p>
      <w:pPr>
        <w:spacing w:after="120"/>
      </w:pPr>
      <w:r>
        <w:rPr>
          <w:rFonts w:ascii="Arial" w:cs="Arial" w:eastAsia="Arial" w:hAnsi="Arial"/>
          <w:color w:val="222222"/>
          <w:sz w:val="22"/>
          <w:szCs w:val="22"/>
        </w:rPr>
        <w:t xml:space="preserve">Permanent engagement of a QCP Worker: 15% of anticipated annual salary, in accordance with the Conduct of Employment Agencies and Employment Businesses Regulations 2003.</w:t>
      </w:r>
    </w:p>
    <w:p>
      <w:pPr>
        <w:pStyle w:val="Heading1"/>
        <w:spacing w:after="200" w:before="360"/>
      </w:pPr>
      <w:r>
        <w:rPr>
          <w:rFonts w:ascii="Arial" w:cs="Arial" w:eastAsia="Arial" w:hAnsi="Arial"/>
          <w:b/>
          <w:bCs/>
          <w:color w:val="00838F"/>
          <w:sz w:val="32"/>
          <w:szCs w:val="32"/>
        </w:rPr>
        <w:t xml:space="preserve">10. Termination</w:t>
      </w:r>
    </w:p>
    <w:p>
      <w:pPr>
        <w:spacing w:after="120"/>
      </w:pPr>
      <w:r>
        <w:rPr>
          <w:rFonts w:ascii="Arial" w:cs="Arial" w:eastAsia="Arial" w:hAnsi="Arial"/>
          <w:color w:val="222222"/>
          <w:sz w:val="22"/>
          <w:szCs w:val="22"/>
        </w:rPr>
        <w:t xml:space="preserve">Either party may terminate with 30 days' written notice. Termination does not affect liability for charges already incurred.</w:t>
      </w:r>
    </w:p>
    <w:p>
      <w:pPr>
        <w:pStyle w:val="Heading1"/>
        <w:spacing w:after="200" w:before="360"/>
      </w:pPr>
      <w:r>
        <w:rPr>
          <w:rFonts w:ascii="Arial" w:cs="Arial" w:eastAsia="Arial" w:hAnsi="Arial"/>
          <w:b/>
          <w:bCs/>
          <w:color w:val="00838F"/>
          <w:sz w:val="32"/>
          <w:szCs w:val="32"/>
        </w:rPr>
        <w:t xml:space="preserve">11. Governing Law</w:t>
      </w:r>
    </w:p>
    <w:p>
      <w:pPr>
        <w:spacing w:after="120"/>
      </w:pPr>
      <w:r>
        <w:rPr>
          <w:rFonts w:ascii="Arial" w:cs="Arial" w:eastAsia="Arial" w:hAnsi="Arial"/>
          <w:color w:val="222222"/>
          <w:sz w:val="22"/>
          <w:szCs w:val="22"/>
        </w:rPr>
        <w:t xml:space="preserve">Governed by the laws of England and Wales.</w:t>
      </w:r>
    </w:p>
    <w:p>
      <w:pPr>
        <w:pStyle w:val="Heading1"/>
        <w:spacing w:after="200" w:before="360"/>
      </w:pPr>
      <w:r>
        <w:rPr>
          <w:rFonts w:ascii="Arial" w:cs="Arial" w:eastAsia="Arial" w:hAnsi="Arial"/>
          <w:b/>
          <w:bCs/>
          <w:color w:val="00838F"/>
          <w:sz w:val="32"/>
          <w:szCs w:val="32"/>
        </w:rPr>
        <w:t xml:space="preserve">12. Contact</w:t>
      </w:r>
    </w:p>
    <w:p>
      <w:pPr>
        <w:spacing w:after="120"/>
      </w:pPr>
      <w:r>
        <w:rPr>
          <w:rFonts w:ascii="Arial" w:cs="Arial" w:eastAsia="Arial" w:hAnsi="Arial"/>
          <w:b/>
          <w:bCs/>
          <w:sz w:val="22"/>
          <w:szCs w:val="22"/>
        </w:rPr>
        <w:t xml:space="preserve">Name: </w:t>
      </w:r>
      <w:r>
        <w:rPr>
          <w:rFonts w:ascii="Arial" w:cs="Arial" w:eastAsia="Arial" w:hAnsi="Arial"/>
          <w:sz w:val="22"/>
          <w:szCs w:val="22"/>
        </w:rPr>
        <w:t xml:space="preserve">Adrian Moyo, Director</w:t>
      </w:r>
    </w:p>
    <w:p>
      <w:pPr>
        <w:spacing w:after="120"/>
      </w:pPr>
      <w:r>
        <w:rPr>
          <w:rFonts w:ascii="Arial" w:cs="Arial" w:eastAsia="Arial" w:hAnsi="Arial"/>
          <w:b/>
          <w:bCs/>
          <w:sz w:val="22"/>
          <w:szCs w:val="22"/>
        </w:rPr>
        <w:t xml:space="preserve">Phone: </w:t>
      </w:r>
      <w:r>
        <w:rPr>
          <w:rFonts w:ascii="Arial" w:cs="Arial" w:eastAsia="Arial" w:hAnsi="Arial"/>
          <w:sz w:val="22"/>
          <w:szCs w:val="22"/>
        </w:rPr>
        <w:t xml:space="preserve">07512 586286</w:t>
      </w:r>
    </w:p>
    <w:p>
      <w:pPr>
        <w:spacing w:after="120"/>
      </w:pPr>
      <w:r>
        <w:rPr>
          <w:rFonts w:ascii="Arial" w:cs="Arial" w:eastAsia="Arial" w:hAnsi="Arial"/>
          <w:b/>
          <w:bCs/>
          <w:sz w:val="22"/>
          <w:szCs w:val="22"/>
        </w:rPr>
        <w:t xml:space="preserve">Email: </w:t>
      </w:r>
      <w:r>
        <w:rPr>
          <w:rFonts w:ascii="Arial" w:cs="Arial" w:eastAsia="Arial" w:hAnsi="Arial"/>
          <w:sz w:val="22"/>
          <w:szCs w:val="22"/>
        </w:rPr>
        <w:t xml:space="preserve">info@qualitycarepartners.co.uk</w:t>
      </w:r>
    </w:p>
    <w:p>
      <w:pPr>
        <w:spacing w:after="40"/>
      </w:pPr>
    </w:p>
    <w:p>
      <w:pPr>
        <w:spacing w:after="40"/>
      </w:pPr>
    </w:p>
    <w:p>
      <w:pPr>
        <w:spacing w:after="60"/>
      </w:pPr>
      <w:r>
        <w:rPr>
          <w:rFonts w:ascii="Arial" w:cs="Arial" w:eastAsia="Arial" w:hAnsi="Arial"/>
          <w:color w:val="666666"/>
          <w:sz w:val="20"/>
          <w:szCs w:val="20"/>
        </w:rPr>
        <w:t xml:space="preserve">Approved and issued by:</w:t>
      </w:r>
    </w:p>
    <w:p>
      <w:r>
        <w:rPr>
          <w:rFonts w:ascii="Arial" w:cs="Arial" w:eastAsia="Arial" w:hAnsi="Arial"/>
          <w:b/>
          <w:bCs/>
          <w:i/>
          <w:iCs/>
          <w:color w:val="00838F"/>
          <w:sz w:val="30"/>
          <w:szCs w:val="30"/>
        </w:rPr>
        <w:t xml:space="preserve">Adrian Moyo</w:t>
      </w:r>
    </w:p>
    <w:p>
      <w:pPr>
        <w:pBdr>
          <w:bottom w:val="single" w:color="00838F" w:sz="6" w:space="2"/>
        </w:pBdr>
        <w:spacing w:after="80"/>
      </w:pPr>
      <w:r>
        <w:rPr>
          <w:rFonts w:ascii="Arial" w:cs="Arial" w:eastAsia="Arial" w:hAnsi="Arial"/>
          <w:sz w:val="12"/>
          <w:szCs w:val="12"/>
        </w:rPr>
        <w:t xml:space="preserve"/>
      </w:r>
    </w:p>
    <w:p>
      <w:pPr>
        <w:spacing w:after="40"/>
      </w:pPr>
    </w:p>
    <w:p>
      <w:r>
        <w:rPr>
          <w:rFonts w:ascii="Arial" w:cs="Arial" w:eastAsia="Arial" w:hAnsi="Arial"/>
          <w:b/>
          <w:bCs/>
          <w:sz w:val="22"/>
          <w:szCs w:val="22"/>
        </w:rPr>
        <w:t xml:space="preserve">Adrian Moyo, Director</w:t>
      </w:r>
    </w:p>
    <w:p>
      <w:r>
        <w:rPr>
          <w:rFonts w:ascii="Arial" w:cs="Arial" w:eastAsia="Arial" w:hAnsi="Arial"/>
          <w:color w:val="666666"/>
          <w:sz w:val="22"/>
          <w:szCs w:val="22"/>
        </w:rPr>
        <w:t xml:space="preserve">Quality Care Partners Ltd  |  Date: July 2026</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Client Terms &amp; Conditions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2026-07-13T20:40:40.091Z</dcterms:created>
  <dcterms:modified xsi:type="dcterms:W3CDTF">2026-07-13T20:40:40.091Z</dcterms:modified>
</cp:coreProperties>
</file>

<file path=docProps/custom.xml><?xml version="1.0" encoding="utf-8"?>
<Properties xmlns="http://schemas.openxmlformats.org/officeDocument/2006/custom-properties" xmlns:vt="http://schemas.openxmlformats.org/officeDocument/2006/docPropsVTypes"/>
</file>