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p>
    <w:p>
      <w:pPr>
        <w:spacing w:after="40"/>
      </w:pPr>
    </w:p>
    <w:p>
      <w:pPr>
        <w:spacing w:after="40"/>
      </w:pPr>
    </w:p>
    <w:p>
      <w:pPr>
        <w:spacing w:after="40"/>
      </w:pPr>
    </w:p>
    <w:p>
      <w:pPr>
        <w:spacing w:after="40"/>
      </w:pPr>
    </w:p>
    <w:p>
      <w:pPr>
        <w:spacing w:after="200"/>
        <w:jc w:val="center"/>
      </w:pPr>
      <w:r>
        <w:rPr>
          <w:rFonts w:ascii="Arial" w:cs="Arial" w:eastAsia="Arial" w:hAnsi="Arial"/>
          <w:b/>
          <w:bCs/>
          <w:color w:val="00838F"/>
          <w:sz w:val="40"/>
          <w:szCs w:val="40"/>
        </w:rPr>
        <w:t xml:space="preserve">QUALITY CARE PARTNERS LTD</w:t>
      </w:r>
    </w:p>
    <w:p>
      <w:pPr>
        <w:spacing w:after="40"/>
      </w:pPr>
    </w:p>
    <w:p>
      <w:pPr>
        <w:spacing w:after="400"/>
        <w:jc w:val="center"/>
      </w:pPr>
      <w:r>
        <w:rPr>
          <w:rFonts w:ascii="Arial" w:cs="Arial" w:eastAsia="Arial" w:hAnsi="Arial"/>
          <w:color w:val="222222"/>
          <w:sz w:val="36"/>
          <w:szCs w:val="36"/>
        </w:rPr>
        <w:t xml:space="preserve">Safeguarding Adults Policy</w:t>
      </w:r>
    </w:p>
    <w:p>
      <w:pPr>
        <w:spacing w:after="40"/>
      </w:pPr>
    </w:p>
    <w:p>
      <w:pPr>
        <w:spacing w:after="40"/>
      </w:pPr>
    </w:p>
    <w:tbl>
      <w:tblPr>
        <w:tblW w:type="dxa" w:w="5000"/>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tblGrid>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Document Reference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QCP-POL-001</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Version</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1.0</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Effective 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2026</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Review 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2027</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Approved By</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Adrian Moyo, Director</w:t>
            </w:r>
          </w:p>
        </w:tc>
      </w:tr>
    </w:tbl>
    <w:p>
      <w:r>
        <w:br w:type="page"/>
      </w:r>
    </w:p>
    <w:p>
      <w:pPr>
        <w:pStyle w:val="Heading1"/>
        <w:spacing w:after="200" w:before="360"/>
      </w:pPr>
      <w:r>
        <w:rPr>
          <w:rFonts w:ascii="Arial" w:cs="Arial" w:eastAsia="Arial" w:hAnsi="Arial"/>
          <w:b/>
          <w:bCs/>
          <w:color w:val="00838F"/>
          <w:sz w:val="32"/>
          <w:szCs w:val="32"/>
        </w:rPr>
        <w:t xml:space="preserve">1. Purpose and Scope</w:t>
      </w:r>
    </w:p>
    <w:p>
      <w:pPr>
        <w:spacing w:after="120"/>
      </w:pPr>
      <w:r>
        <w:rPr>
          <w:rFonts w:ascii="Arial" w:cs="Arial" w:eastAsia="Arial" w:hAnsi="Arial"/>
          <w:color w:val="222222"/>
          <w:sz w:val="22"/>
          <w:szCs w:val="22"/>
        </w:rPr>
        <w:t xml:space="preserve">Quality Care Partners Ltd ("QCP") is committed to safeguarding the welfare of all adults at risk who come into contact with our workers. This policy sets out our approach to preventing abuse and neglect and establishes clear procedures for identifying, reporting and responding to safeguarding concerns.</w:t>
      </w:r>
    </w:p>
    <w:p>
      <w:pPr>
        <w:spacing w:after="120"/>
      </w:pPr>
      <w:r>
        <w:rPr>
          <w:rFonts w:ascii="Arial" w:cs="Arial" w:eastAsia="Arial" w:hAnsi="Arial"/>
          <w:color w:val="222222"/>
          <w:sz w:val="22"/>
          <w:szCs w:val="22"/>
        </w:rPr>
        <w:t xml:space="preserve">This policy applies to all workers, employees, contractors and agency staff supplied by QCP to client care settings. QCP recognises its responsibilities under the Care Act 2014, the Mental Capacity Act 2005 and all related statutory guidance.</w:t>
      </w:r>
    </w:p>
    <w:p>
      <w:pPr>
        <w:pStyle w:val="Heading1"/>
        <w:spacing w:after="200" w:before="360"/>
      </w:pPr>
      <w:r>
        <w:rPr>
          <w:rFonts w:ascii="Arial" w:cs="Arial" w:eastAsia="Arial" w:hAnsi="Arial"/>
          <w:b/>
          <w:bCs/>
          <w:color w:val="00838F"/>
          <w:sz w:val="32"/>
          <w:szCs w:val="32"/>
        </w:rPr>
        <w:t xml:space="preserve">2. Key Principles</w:t>
      </w:r>
    </w:p>
    <w:p>
      <w:pPr>
        <w:spacing w:after="120"/>
      </w:pPr>
      <w:r>
        <w:rPr>
          <w:rFonts w:ascii="Arial" w:cs="Arial" w:eastAsia="Arial" w:hAnsi="Arial"/>
          <w:color w:val="222222"/>
          <w:sz w:val="22"/>
          <w:szCs w:val="22"/>
        </w:rPr>
        <w:t xml:space="preserve">Our safeguarding approach is guided by the six key principles established by the Care Act 2014:</w:t>
      </w:r>
    </w:p>
    <w:p>
      <w:pPr>
        <w:pStyle w:val="ListParagraph"/>
        <w:numPr>
          <w:ilvl w:val="0"/>
          <w:numId w:val="2"/>
        </w:numPr>
        <w:spacing w:after="80"/>
      </w:pPr>
      <w:r>
        <w:rPr>
          <w:rFonts w:ascii="Arial" w:cs="Arial" w:eastAsia="Arial" w:hAnsi="Arial"/>
          <w:color w:val="222222"/>
          <w:sz w:val="22"/>
          <w:szCs w:val="22"/>
        </w:rPr>
        <w:t xml:space="preserve">Empowerment: People are supported and encouraged to make their own decisions and give informed consent.</w:t>
      </w:r>
    </w:p>
    <w:p>
      <w:pPr>
        <w:pStyle w:val="ListParagraph"/>
        <w:numPr>
          <w:ilvl w:val="0"/>
          <w:numId w:val="2"/>
        </w:numPr>
        <w:spacing w:after="80"/>
      </w:pPr>
      <w:r>
        <w:rPr>
          <w:rFonts w:ascii="Arial" w:cs="Arial" w:eastAsia="Arial" w:hAnsi="Arial"/>
          <w:color w:val="222222"/>
          <w:sz w:val="22"/>
          <w:szCs w:val="22"/>
        </w:rPr>
        <w:t xml:space="preserve">Prevention: It is better to take action before harm occurs.</w:t>
      </w:r>
    </w:p>
    <w:p>
      <w:pPr>
        <w:pStyle w:val="ListParagraph"/>
        <w:numPr>
          <w:ilvl w:val="0"/>
          <w:numId w:val="2"/>
        </w:numPr>
        <w:spacing w:after="80"/>
      </w:pPr>
      <w:r>
        <w:rPr>
          <w:rFonts w:ascii="Arial" w:cs="Arial" w:eastAsia="Arial" w:hAnsi="Arial"/>
          <w:color w:val="222222"/>
          <w:sz w:val="22"/>
          <w:szCs w:val="22"/>
        </w:rPr>
        <w:t xml:space="preserve">Proportionality: The least intrusive response appropriate to the risk presented.</w:t>
      </w:r>
    </w:p>
    <w:p>
      <w:pPr>
        <w:pStyle w:val="ListParagraph"/>
        <w:numPr>
          <w:ilvl w:val="0"/>
          <w:numId w:val="2"/>
        </w:numPr>
        <w:spacing w:after="80"/>
      </w:pPr>
      <w:r>
        <w:rPr>
          <w:rFonts w:ascii="Arial" w:cs="Arial" w:eastAsia="Arial" w:hAnsi="Arial"/>
          <w:color w:val="222222"/>
          <w:sz w:val="22"/>
          <w:szCs w:val="22"/>
        </w:rPr>
        <w:t xml:space="preserve">Protection: Support and representation for those in greatest need.</w:t>
      </w:r>
    </w:p>
    <w:p>
      <w:pPr>
        <w:pStyle w:val="ListParagraph"/>
        <w:numPr>
          <w:ilvl w:val="0"/>
          <w:numId w:val="2"/>
        </w:numPr>
        <w:spacing w:after="80"/>
      </w:pPr>
      <w:r>
        <w:rPr>
          <w:rFonts w:ascii="Arial" w:cs="Arial" w:eastAsia="Arial" w:hAnsi="Arial"/>
          <w:color w:val="222222"/>
          <w:sz w:val="22"/>
          <w:szCs w:val="22"/>
        </w:rPr>
        <w:t xml:space="preserve">Partnership: Working with local safeguarding adults boards and care providers.</w:t>
      </w:r>
    </w:p>
    <w:p>
      <w:pPr>
        <w:pStyle w:val="ListParagraph"/>
        <w:numPr>
          <w:ilvl w:val="0"/>
          <w:numId w:val="2"/>
        </w:numPr>
        <w:spacing w:after="80"/>
      </w:pPr>
      <w:r>
        <w:rPr>
          <w:rFonts w:ascii="Arial" w:cs="Arial" w:eastAsia="Arial" w:hAnsi="Arial"/>
          <w:color w:val="222222"/>
          <w:sz w:val="22"/>
          <w:szCs w:val="22"/>
        </w:rPr>
        <w:t xml:space="preserve">Accountability: Accountability and transparency in safeguarding practice.</w:t>
      </w:r>
    </w:p>
    <w:p>
      <w:pPr>
        <w:pStyle w:val="Heading1"/>
        <w:spacing w:after="200" w:before="360"/>
      </w:pPr>
      <w:r>
        <w:rPr>
          <w:rFonts w:ascii="Arial" w:cs="Arial" w:eastAsia="Arial" w:hAnsi="Arial"/>
          <w:b/>
          <w:bCs/>
          <w:color w:val="00838F"/>
          <w:sz w:val="32"/>
          <w:szCs w:val="32"/>
        </w:rPr>
        <w:t xml:space="preserve">3. Definitions of Abuse</w:t>
      </w:r>
    </w:p>
    <w:p>
      <w:pPr>
        <w:spacing w:after="120"/>
      </w:pPr>
      <w:r>
        <w:rPr>
          <w:rFonts w:ascii="Arial" w:cs="Arial" w:eastAsia="Arial" w:hAnsi="Arial"/>
          <w:color w:val="222222"/>
          <w:sz w:val="22"/>
          <w:szCs w:val="22"/>
        </w:rPr>
        <w:t xml:space="preserve">The Care Act 2014 identifies the following categories of abuse and neglect:</w:t>
      </w:r>
    </w:p>
    <w:p>
      <w:pPr>
        <w:pStyle w:val="ListParagraph"/>
        <w:numPr>
          <w:ilvl w:val="0"/>
          <w:numId w:val="2"/>
        </w:numPr>
        <w:spacing w:after="80"/>
      </w:pPr>
      <w:r>
        <w:rPr>
          <w:rFonts w:ascii="Arial" w:cs="Arial" w:eastAsia="Arial" w:hAnsi="Arial"/>
          <w:color w:val="222222"/>
          <w:sz w:val="22"/>
          <w:szCs w:val="22"/>
        </w:rPr>
        <w:t xml:space="preserve">Physical abuse — hitting, slapping, pushing, misuse of medication, restraint or inappropriate physical sanctions</w:t>
      </w:r>
    </w:p>
    <w:p>
      <w:pPr>
        <w:pStyle w:val="ListParagraph"/>
        <w:numPr>
          <w:ilvl w:val="0"/>
          <w:numId w:val="2"/>
        </w:numPr>
        <w:spacing w:after="80"/>
      </w:pPr>
      <w:r>
        <w:rPr>
          <w:rFonts w:ascii="Arial" w:cs="Arial" w:eastAsia="Arial" w:hAnsi="Arial"/>
          <w:color w:val="222222"/>
          <w:sz w:val="22"/>
          <w:szCs w:val="22"/>
        </w:rPr>
        <w:t xml:space="preserve">Domestic abuse — psychological, physical, sexual, financial or emotional abuse by a partner or family member</w:t>
      </w:r>
    </w:p>
    <w:p>
      <w:pPr>
        <w:pStyle w:val="ListParagraph"/>
        <w:numPr>
          <w:ilvl w:val="0"/>
          <w:numId w:val="2"/>
        </w:numPr>
        <w:spacing w:after="80"/>
      </w:pPr>
      <w:r>
        <w:rPr>
          <w:rFonts w:ascii="Arial" w:cs="Arial" w:eastAsia="Arial" w:hAnsi="Arial"/>
          <w:color w:val="222222"/>
          <w:sz w:val="22"/>
          <w:szCs w:val="22"/>
        </w:rPr>
        <w:t xml:space="preserve">Sexual abuse — rape, indecent exposure, sexual harassment, inappropriate touching</w:t>
      </w:r>
    </w:p>
    <w:p>
      <w:pPr>
        <w:pStyle w:val="ListParagraph"/>
        <w:numPr>
          <w:ilvl w:val="0"/>
          <w:numId w:val="2"/>
        </w:numPr>
        <w:spacing w:after="80"/>
      </w:pPr>
      <w:r>
        <w:rPr>
          <w:rFonts w:ascii="Arial" w:cs="Arial" w:eastAsia="Arial" w:hAnsi="Arial"/>
          <w:color w:val="222222"/>
          <w:sz w:val="22"/>
          <w:szCs w:val="22"/>
        </w:rPr>
        <w:t xml:space="preserve">Psychological abuse — emotional abuse, threats, humiliation, controlling, intimidation, coercion or harassment</w:t>
      </w:r>
    </w:p>
    <w:p>
      <w:pPr>
        <w:pStyle w:val="ListParagraph"/>
        <w:numPr>
          <w:ilvl w:val="0"/>
          <w:numId w:val="2"/>
        </w:numPr>
        <w:spacing w:after="80"/>
      </w:pPr>
      <w:r>
        <w:rPr>
          <w:rFonts w:ascii="Arial" w:cs="Arial" w:eastAsia="Arial" w:hAnsi="Arial"/>
          <w:color w:val="222222"/>
          <w:sz w:val="22"/>
          <w:szCs w:val="22"/>
        </w:rPr>
        <w:t xml:space="preserve">Financial or material abuse — theft, fraud, coercion in relation to financial affairs, misuse of property or benefits</w:t>
      </w:r>
    </w:p>
    <w:p>
      <w:pPr>
        <w:pStyle w:val="ListParagraph"/>
        <w:numPr>
          <w:ilvl w:val="0"/>
          <w:numId w:val="2"/>
        </w:numPr>
        <w:spacing w:after="80"/>
      </w:pPr>
      <w:r>
        <w:rPr>
          <w:rFonts w:ascii="Arial" w:cs="Arial" w:eastAsia="Arial" w:hAnsi="Arial"/>
          <w:color w:val="222222"/>
          <w:sz w:val="22"/>
          <w:szCs w:val="22"/>
        </w:rPr>
        <w:t xml:space="preserve">Modern slavery — human trafficking, forced labour, domestic servitude, sexual exploitation</w:t>
      </w:r>
    </w:p>
    <w:p>
      <w:pPr>
        <w:pStyle w:val="ListParagraph"/>
        <w:numPr>
          <w:ilvl w:val="0"/>
          <w:numId w:val="2"/>
        </w:numPr>
        <w:spacing w:after="80"/>
      </w:pPr>
      <w:r>
        <w:rPr>
          <w:rFonts w:ascii="Arial" w:cs="Arial" w:eastAsia="Arial" w:hAnsi="Arial"/>
          <w:color w:val="222222"/>
          <w:sz w:val="22"/>
          <w:szCs w:val="22"/>
        </w:rPr>
        <w:t xml:space="preserve">Discriminatory abuse — harassment or treatment based on protected characteristics</w:t>
      </w:r>
    </w:p>
    <w:p>
      <w:pPr>
        <w:pStyle w:val="ListParagraph"/>
        <w:numPr>
          <w:ilvl w:val="0"/>
          <w:numId w:val="2"/>
        </w:numPr>
        <w:spacing w:after="80"/>
      </w:pPr>
      <w:r>
        <w:rPr>
          <w:rFonts w:ascii="Arial" w:cs="Arial" w:eastAsia="Arial" w:hAnsi="Arial"/>
          <w:color w:val="222222"/>
          <w:sz w:val="22"/>
          <w:szCs w:val="22"/>
        </w:rPr>
        <w:t xml:space="preserve">Organisational abuse — neglect and poor care practice within an institution or care setting</w:t>
      </w:r>
    </w:p>
    <w:p>
      <w:pPr>
        <w:pStyle w:val="ListParagraph"/>
        <w:numPr>
          <w:ilvl w:val="0"/>
          <w:numId w:val="2"/>
        </w:numPr>
        <w:spacing w:after="80"/>
      </w:pPr>
      <w:r>
        <w:rPr>
          <w:rFonts w:ascii="Arial" w:cs="Arial" w:eastAsia="Arial" w:hAnsi="Arial"/>
          <w:color w:val="222222"/>
          <w:sz w:val="22"/>
          <w:szCs w:val="22"/>
        </w:rPr>
        <w:t xml:space="preserve">Neglect and acts of omission — ignoring care needs, failure to provide access to services</w:t>
      </w:r>
    </w:p>
    <w:p>
      <w:pPr>
        <w:pStyle w:val="ListParagraph"/>
        <w:numPr>
          <w:ilvl w:val="0"/>
          <w:numId w:val="2"/>
        </w:numPr>
        <w:spacing w:after="80"/>
      </w:pPr>
      <w:r>
        <w:rPr>
          <w:rFonts w:ascii="Arial" w:cs="Arial" w:eastAsia="Arial" w:hAnsi="Arial"/>
          <w:color w:val="222222"/>
          <w:sz w:val="22"/>
          <w:szCs w:val="22"/>
        </w:rPr>
        <w:t xml:space="preserve">Self-neglect — neglecting personal hygiene, health or surroundings</w:t>
      </w:r>
    </w:p>
    <w:p>
      <w:pPr>
        <w:pStyle w:val="Heading1"/>
        <w:spacing w:after="200" w:before="360"/>
      </w:pPr>
      <w:r>
        <w:rPr>
          <w:rFonts w:ascii="Arial" w:cs="Arial" w:eastAsia="Arial" w:hAnsi="Arial"/>
          <w:b/>
          <w:bCs/>
          <w:color w:val="00838F"/>
          <w:sz w:val="32"/>
          <w:szCs w:val="32"/>
        </w:rPr>
        <w:t xml:space="preserve">4. Responsibilities</w:t>
      </w:r>
    </w:p>
    <w:p>
      <w:pPr>
        <w:pStyle w:val="Heading2"/>
        <w:spacing w:after="140" w:before="240"/>
      </w:pPr>
      <w:r>
        <w:rPr>
          <w:rFonts w:ascii="Arial" w:cs="Arial" w:eastAsia="Arial" w:hAnsi="Arial"/>
          <w:b/>
          <w:bCs/>
          <w:color w:val="00838F"/>
          <w:sz w:val="26"/>
          <w:szCs w:val="26"/>
        </w:rPr>
        <w:t xml:space="preserve">4.1 QCP Management</w:t>
      </w:r>
    </w:p>
    <w:p>
      <w:pPr>
        <w:spacing w:after="120"/>
      </w:pPr>
      <w:r>
        <w:rPr>
          <w:rFonts w:ascii="Arial" w:cs="Arial" w:eastAsia="Arial" w:hAnsi="Arial"/>
          <w:color w:val="222222"/>
          <w:sz w:val="22"/>
          <w:szCs w:val="22"/>
        </w:rPr>
        <w:t xml:space="preserve">QCP ensures all workers have undergone Enhanced DBS with barred list checks, right to work verification, reference checks and mandatory safeguarding training before any shift allocation. QCP will immediately remove any worker from active duty where a safeguarding concern has been raised.</w:t>
      </w:r>
    </w:p>
    <w:p>
      <w:pPr>
        <w:pStyle w:val="Heading2"/>
        <w:spacing w:after="140" w:before="240"/>
      </w:pPr>
      <w:r>
        <w:rPr>
          <w:rFonts w:ascii="Arial" w:cs="Arial" w:eastAsia="Arial" w:hAnsi="Arial"/>
          <w:b/>
          <w:bCs/>
          <w:color w:val="00838F"/>
          <w:sz w:val="26"/>
          <w:szCs w:val="26"/>
        </w:rPr>
        <w:t xml:space="preserve">4.2 Workers</w:t>
      </w:r>
    </w:p>
    <w:p>
      <w:pPr>
        <w:pStyle w:val="ListParagraph"/>
        <w:numPr>
          <w:ilvl w:val="0"/>
          <w:numId w:val="2"/>
        </w:numPr>
        <w:spacing w:after="80"/>
      </w:pPr>
      <w:r>
        <w:rPr>
          <w:rFonts w:ascii="Arial" w:cs="Arial" w:eastAsia="Arial" w:hAnsi="Arial"/>
          <w:color w:val="222222"/>
          <w:sz w:val="22"/>
          <w:szCs w:val="22"/>
        </w:rPr>
        <w:t xml:space="preserve">Complete mandatory safeguarding training before their first shift and refresher training annually</w:t>
      </w:r>
    </w:p>
    <w:p>
      <w:pPr>
        <w:pStyle w:val="ListParagraph"/>
        <w:numPr>
          <w:ilvl w:val="0"/>
          <w:numId w:val="2"/>
        </w:numPr>
        <w:spacing w:after="80"/>
      </w:pPr>
      <w:r>
        <w:rPr>
          <w:rFonts w:ascii="Arial" w:cs="Arial" w:eastAsia="Arial" w:hAnsi="Arial"/>
          <w:color w:val="222222"/>
          <w:sz w:val="22"/>
          <w:szCs w:val="22"/>
        </w:rPr>
        <w:t xml:space="preserve">Be vigilant and aware of the signs and indicators of abuse and neglect</w:t>
      </w:r>
    </w:p>
    <w:p>
      <w:pPr>
        <w:pStyle w:val="ListParagraph"/>
        <w:numPr>
          <w:ilvl w:val="0"/>
          <w:numId w:val="2"/>
        </w:numPr>
        <w:spacing w:after="80"/>
      </w:pPr>
      <w:r>
        <w:rPr>
          <w:rFonts w:ascii="Arial" w:cs="Arial" w:eastAsia="Arial" w:hAnsi="Arial"/>
          <w:color w:val="222222"/>
          <w:sz w:val="22"/>
          <w:szCs w:val="22"/>
        </w:rPr>
        <w:t xml:space="preserve">Report any concerns immediately to the care home manager and QCP</w:t>
      </w:r>
    </w:p>
    <w:p>
      <w:pPr>
        <w:pStyle w:val="ListParagraph"/>
        <w:numPr>
          <w:ilvl w:val="0"/>
          <w:numId w:val="2"/>
        </w:numPr>
        <w:spacing w:after="80"/>
      </w:pPr>
      <w:r>
        <w:rPr>
          <w:rFonts w:ascii="Arial" w:cs="Arial" w:eastAsia="Arial" w:hAnsi="Arial"/>
          <w:color w:val="222222"/>
          <w:sz w:val="22"/>
          <w:szCs w:val="22"/>
        </w:rPr>
        <w:t xml:space="preserve">Keep accurate, factual and contemporaneous records of any concerns</w:t>
      </w:r>
    </w:p>
    <w:p>
      <w:pPr>
        <w:pStyle w:val="ListParagraph"/>
        <w:numPr>
          <w:ilvl w:val="0"/>
          <w:numId w:val="2"/>
        </w:numPr>
        <w:spacing w:after="80"/>
      </w:pPr>
      <w:r>
        <w:rPr>
          <w:rFonts w:ascii="Arial" w:cs="Arial" w:eastAsia="Arial" w:hAnsi="Arial"/>
          <w:color w:val="222222"/>
          <w:sz w:val="22"/>
          <w:szCs w:val="22"/>
        </w:rPr>
        <w:t xml:space="preserve">Never promise to keep a disclosure of abuse confidential</w:t>
      </w:r>
    </w:p>
    <w:p>
      <w:pPr>
        <w:pStyle w:val="ListParagraph"/>
        <w:numPr>
          <w:ilvl w:val="0"/>
          <w:numId w:val="2"/>
        </w:numPr>
        <w:spacing w:after="80"/>
      </w:pPr>
      <w:r>
        <w:rPr>
          <w:rFonts w:ascii="Arial" w:cs="Arial" w:eastAsia="Arial" w:hAnsi="Arial"/>
          <w:color w:val="222222"/>
          <w:sz w:val="22"/>
          <w:szCs w:val="22"/>
        </w:rPr>
        <w:t xml:space="preserve">Maintain professional boundaries at all times</w:t>
      </w:r>
    </w:p>
    <w:p>
      <w:pPr>
        <w:pStyle w:val="Heading2"/>
        <w:spacing w:after="140" w:before="240"/>
      </w:pPr>
      <w:r>
        <w:rPr>
          <w:rFonts w:ascii="Arial" w:cs="Arial" w:eastAsia="Arial" w:hAnsi="Arial"/>
          <w:b/>
          <w:bCs/>
          <w:color w:val="00838F"/>
          <w:sz w:val="26"/>
          <w:szCs w:val="26"/>
        </w:rPr>
        <w:t xml:space="preserve">4.3 Designated Safeguarding Lead</w:t>
      </w:r>
    </w:p>
    <w:p>
      <w:pPr>
        <w:spacing w:after="120"/>
      </w:pPr>
      <w:r>
        <w:rPr>
          <w:rFonts w:ascii="Arial" w:cs="Arial" w:eastAsia="Arial" w:hAnsi="Arial"/>
          <w:color w:val="222222"/>
          <w:sz w:val="22"/>
          <w:szCs w:val="22"/>
        </w:rPr>
        <w:t xml:space="preserve">The QCP Designated Safeguarding Lead is Adrian Moyo, Director.</w:t>
      </w:r>
    </w:p>
    <w:p>
      <w:pPr>
        <w:spacing w:after="120"/>
      </w:pPr>
      <w:r>
        <w:rPr>
          <w:rFonts w:ascii="Arial" w:cs="Arial" w:eastAsia="Arial" w:hAnsi="Arial"/>
          <w:b/>
          <w:bCs/>
          <w:sz w:val="22"/>
          <w:szCs w:val="22"/>
        </w:rPr>
        <w:t xml:space="preserve">Contact: </w:t>
      </w:r>
      <w:r>
        <w:rPr>
          <w:rFonts w:ascii="Arial" w:cs="Arial" w:eastAsia="Arial" w:hAnsi="Arial"/>
          <w:sz w:val="22"/>
          <w:szCs w:val="22"/>
        </w:rPr>
        <w:t xml:space="preserve">07512 586286 | info@qualitycarepartners.co.uk</w:t>
      </w:r>
    </w:p>
    <w:p>
      <w:pPr>
        <w:pStyle w:val="Heading1"/>
        <w:spacing w:after="200" w:before="360"/>
      </w:pPr>
      <w:r>
        <w:rPr>
          <w:rFonts w:ascii="Arial" w:cs="Arial" w:eastAsia="Arial" w:hAnsi="Arial"/>
          <w:b/>
          <w:bCs/>
          <w:color w:val="00838F"/>
          <w:sz w:val="32"/>
          <w:szCs w:val="32"/>
        </w:rPr>
        <w:t xml:space="preserve">5. Reporting Procedures</w:t>
      </w:r>
    </w:p>
    <w:p>
      <w:pPr>
        <w:pStyle w:val="ListParagraph"/>
        <w:numPr>
          <w:ilvl w:val="0"/>
          <w:numId w:val="2"/>
        </w:numPr>
        <w:spacing w:after="80"/>
      </w:pPr>
      <w:r>
        <w:rPr>
          <w:rFonts w:ascii="Arial" w:cs="Arial" w:eastAsia="Arial" w:hAnsi="Arial"/>
          <w:color w:val="222222"/>
          <w:sz w:val="22"/>
          <w:szCs w:val="22"/>
        </w:rPr>
        <w:t xml:space="preserve">Ensure the immediate safety of the adult at risk. If there is immediate danger, call 999.</w:t>
      </w:r>
    </w:p>
    <w:p>
      <w:pPr>
        <w:pStyle w:val="ListParagraph"/>
        <w:numPr>
          <w:ilvl w:val="0"/>
          <w:numId w:val="2"/>
        </w:numPr>
        <w:spacing w:after="80"/>
      </w:pPr>
      <w:r>
        <w:rPr>
          <w:rFonts w:ascii="Arial" w:cs="Arial" w:eastAsia="Arial" w:hAnsi="Arial"/>
          <w:color w:val="222222"/>
          <w:sz w:val="22"/>
          <w:szCs w:val="22"/>
        </w:rPr>
        <w:t xml:space="preserve">Do not confront the alleged abuser.</w:t>
      </w:r>
    </w:p>
    <w:p>
      <w:pPr>
        <w:pStyle w:val="ListParagraph"/>
        <w:numPr>
          <w:ilvl w:val="0"/>
          <w:numId w:val="2"/>
        </w:numPr>
        <w:spacing w:after="80"/>
      </w:pPr>
      <w:r>
        <w:rPr>
          <w:rFonts w:ascii="Arial" w:cs="Arial" w:eastAsia="Arial" w:hAnsi="Arial"/>
          <w:color w:val="222222"/>
          <w:sz w:val="22"/>
          <w:szCs w:val="22"/>
        </w:rPr>
        <w:t xml:space="preserve">Listen to the adult and take their concerns seriously.</w:t>
      </w:r>
    </w:p>
    <w:p>
      <w:pPr>
        <w:pStyle w:val="ListParagraph"/>
        <w:numPr>
          <w:ilvl w:val="0"/>
          <w:numId w:val="2"/>
        </w:numPr>
        <w:spacing w:after="80"/>
      </w:pPr>
      <w:r>
        <w:rPr>
          <w:rFonts w:ascii="Arial" w:cs="Arial" w:eastAsia="Arial" w:hAnsi="Arial"/>
          <w:color w:val="222222"/>
          <w:sz w:val="22"/>
          <w:szCs w:val="22"/>
        </w:rPr>
        <w:t xml:space="preserve">Record what you have seen or been told as soon as possible.</w:t>
      </w:r>
    </w:p>
    <w:p>
      <w:pPr>
        <w:pStyle w:val="ListParagraph"/>
        <w:numPr>
          <w:ilvl w:val="0"/>
          <w:numId w:val="2"/>
        </w:numPr>
        <w:spacing w:after="80"/>
      </w:pPr>
      <w:r>
        <w:rPr>
          <w:rFonts w:ascii="Arial" w:cs="Arial" w:eastAsia="Arial" w:hAnsi="Arial"/>
          <w:color w:val="222222"/>
          <w:sz w:val="22"/>
          <w:szCs w:val="22"/>
        </w:rPr>
        <w:t xml:space="preserve">Report the concern immediately to the care home manager AND to QCP's Designated Safeguarding Lead.</w:t>
      </w:r>
    </w:p>
    <w:p>
      <w:pPr>
        <w:pStyle w:val="ListParagraph"/>
        <w:numPr>
          <w:ilvl w:val="0"/>
          <w:numId w:val="2"/>
        </w:numPr>
        <w:spacing w:after="80"/>
      </w:pPr>
      <w:r>
        <w:rPr>
          <w:rFonts w:ascii="Arial" w:cs="Arial" w:eastAsia="Arial" w:hAnsi="Arial"/>
          <w:color w:val="222222"/>
          <w:sz w:val="22"/>
          <w:szCs w:val="22"/>
        </w:rPr>
        <w:t xml:space="preserve">Do not discuss the concern with anyone other than those who need to know.</w:t>
      </w:r>
    </w:p>
    <w:p>
      <w:pPr>
        <w:pStyle w:val="Heading1"/>
        <w:spacing w:after="200" w:before="360"/>
      </w:pPr>
      <w:r>
        <w:rPr>
          <w:rFonts w:ascii="Arial" w:cs="Arial" w:eastAsia="Arial" w:hAnsi="Arial"/>
          <w:b/>
          <w:bCs/>
          <w:color w:val="00838F"/>
          <w:sz w:val="32"/>
          <w:szCs w:val="32"/>
        </w:rPr>
        <w:t xml:space="preserve">6. Safer Recruitment</w:t>
      </w:r>
    </w:p>
    <w:p>
      <w:pPr>
        <w:spacing w:after="120"/>
      </w:pPr>
      <w:r>
        <w:rPr>
          <w:rFonts w:ascii="Arial" w:cs="Arial" w:eastAsia="Arial" w:hAnsi="Arial"/>
          <w:color w:val="222222"/>
          <w:sz w:val="22"/>
          <w:szCs w:val="22"/>
        </w:rPr>
        <w:t xml:space="preserve">All workers undergo Enhanced DBS with barred list check, right to work verification, two satisfactory references, identity verification, mandatory training, and a face-to-face or video interview.</w:t>
      </w:r>
    </w:p>
    <w:p>
      <w:pPr>
        <w:pStyle w:val="Heading1"/>
        <w:spacing w:after="200" w:before="360"/>
      </w:pPr>
      <w:r>
        <w:rPr>
          <w:rFonts w:ascii="Arial" w:cs="Arial" w:eastAsia="Arial" w:hAnsi="Arial"/>
          <w:b/>
          <w:bCs/>
          <w:color w:val="00838F"/>
          <w:sz w:val="32"/>
          <w:szCs w:val="32"/>
        </w:rPr>
        <w:t xml:space="preserve">7. Training</w:t>
      </w:r>
    </w:p>
    <w:p>
      <w:pPr>
        <w:spacing w:after="120"/>
      </w:pPr>
      <w:r>
        <w:rPr>
          <w:rFonts w:ascii="Arial" w:cs="Arial" w:eastAsia="Arial" w:hAnsi="Arial"/>
          <w:color w:val="222222"/>
          <w:sz w:val="22"/>
          <w:szCs w:val="22"/>
        </w:rPr>
        <w:t xml:space="preserve">All QCP workers must complete Level 1 Safeguarding Adults training before their first shift. Annual refresher training is required. Training records are maintained on QCP's digital compliance platform.</w:t>
      </w:r>
    </w:p>
    <w:p>
      <w:pPr>
        <w:pStyle w:val="Heading1"/>
        <w:spacing w:after="200" w:before="360"/>
      </w:pPr>
      <w:r>
        <w:rPr>
          <w:rFonts w:ascii="Arial" w:cs="Arial" w:eastAsia="Arial" w:hAnsi="Arial"/>
          <w:b/>
          <w:bCs/>
          <w:color w:val="00838F"/>
          <w:sz w:val="32"/>
          <w:szCs w:val="32"/>
        </w:rPr>
        <w:t xml:space="preserve">8. Confidentiality</w:t>
      </w:r>
    </w:p>
    <w:p>
      <w:pPr>
        <w:spacing w:after="120"/>
      </w:pPr>
      <w:r>
        <w:rPr>
          <w:rFonts w:ascii="Arial" w:cs="Arial" w:eastAsia="Arial" w:hAnsi="Arial"/>
          <w:color w:val="222222"/>
          <w:sz w:val="22"/>
          <w:szCs w:val="22"/>
        </w:rPr>
        <w:t xml:space="preserve">Information relating to safeguarding concerns will be shared on a strictly need-to-know basis. The duty to safeguard overrides the duty of confidentiality where there is a risk of serious harm.</w:t>
      </w:r>
    </w:p>
    <w:p>
      <w:pPr>
        <w:pStyle w:val="Heading1"/>
        <w:spacing w:after="200" w:before="360"/>
      </w:pPr>
      <w:r>
        <w:rPr>
          <w:rFonts w:ascii="Arial" w:cs="Arial" w:eastAsia="Arial" w:hAnsi="Arial"/>
          <w:b/>
          <w:bCs/>
          <w:color w:val="00838F"/>
          <w:sz w:val="32"/>
          <w:szCs w:val="32"/>
        </w:rPr>
        <w:t xml:space="preserve">9. Review</w:t>
      </w:r>
    </w:p>
    <w:p>
      <w:pPr>
        <w:spacing w:after="120"/>
      </w:pPr>
      <w:r>
        <w:rPr>
          <w:rFonts w:ascii="Arial" w:cs="Arial" w:eastAsia="Arial" w:hAnsi="Arial"/>
          <w:color w:val="222222"/>
          <w:sz w:val="22"/>
          <w:szCs w:val="22"/>
        </w:rPr>
        <w:t xml:space="preserve">This policy will be reviewed annually or following any significant safeguarding incident. Next review: July 2027.</w:t>
      </w:r>
    </w:p>
    <w:p>
      <w:pPr>
        <w:spacing w:after="40"/>
      </w:pPr>
    </w:p>
    <w:p>
      <w:pPr>
        <w:spacing w:after="40"/>
      </w:pPr>
    </w:p>
    <w:p>
      <w:r>
        <w:rPr>
          <w:rFonts w:ascii="Arial" w:cs="Arial" w:eastAsia="Arial" w:hAnsi="Arial"/>
          <w:sz w:val="22"/>
          <w:szCs w:val="22"/>
        </w:rPr>
        <w:t xml:space="preserve">Signed: ___________________________</w:t>
      </w:r>
    </w:p>
    <w:p>
      <w:pPr>
        <w:spacing w:after="40"/>
      </w:pPr>
    </w:p>
    <w:p>
      <w:r>
        <w:rPr>
          <w:rFonts w:ascii="Arial" w:cs="Arial" w:eastAsia="Arial" w:hAnsi="Arial"/>
          <w:b/>
          <w:bCs/>
          <w:sz w:val="22"/>
          <w:szCs w:val="22"/>
        </w:rPr>
        <w:t xml:space="preserve">Adrian Moyo, Director</w:t>
      </w:r>
    </w:p>
    <w:p>
      <w:r>
        <w:rPr>
          <w:rFonts w:ascii="Arial" w:cs="Arial" w:eastAsia="Arial" w:hAnsi="Arial"/>
          <w:color w:val="666666"/>
          <w:sz w:val="22"/>
          <w:szCs w:val="22"/>
        </w:rPr>
        <w:t xml:space="preserve">Quality Care Partners Ltd  |  Date: July 2026</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rFonts w:ascii="Arial" w:cs="Arial" w:eastAsia="Arial" w:hAnsi="Arial"/>
        <w:color w:val="666666"/>
        <w:sz w:val="16"/>
        <w:szCs w:val="16"/>
      </w:rPr>
      <w:t xml:space="preserve">Quality Care Partners Ltd  |  Co. No. 16916906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838F" w:sz="6" w:space="4"/>
      </w:pBdr>
    </w:pPr>
    <w:r>
      <w:rPr>
        <w:rFonts w:ascii="Arial" w:cs="Arial" w:eastAsia="Arial" w:hAnsi="Arial"/>
        <w:b/>
        <w:bCs/>
        <w:color w:val="00838F"/>
        <w:sz w:val="18"/>
        <w:szCs w:val="18"/>
      </w:rPr>
      <w:t xml:space="preserve">Quality Care Partners Ltd</w:t>
    </w:r>
    <w:r>
      <w:rPr>
        <w:rFonts w:ascii="Arial" w:cs="Arial" w:eastAsia="Arial" w:hAnsi="Arial"/>
        <w:color w:val="666666"/>
        <w:sz w:val="18"/>
        <w:szCs w:val="18"/>
      </w:rPr>
      <w:t xml:space="preserve">    Safeguarding Adults 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00838F"/>
      <w:sz w:val="32"/>
      <w:szCs w:val="32"/>
    </w:rPr>
  </w:style>
  <w:style w:type="paragraph" w:styleId="Heading2">
    <w:name w:val="Heading 2"/>
    <w:basedOn w:val="Normal"/>
    <w:next w:val="Normal"/>
    <w:qFormat/>
    <w:pPr>
      <w:spacing w:after="140" w:before="240"/>
      <w:outlineLvl w:val="1"/>
    </w:pPr>
    <w:rPr>
      <w:rFonts w:ascii="Arial" w:cs="Arial" w:eastAsia="Arial" w:hAnsi="Arial"/>
      <w:b/>
      <w:bCs/>
      <w:color w:val="0083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2026-07-09T12:28:01.975Z</dcterms:created>
  <dcterms:modified xsi:type="dcterms:W3CDTF">2026-07-09T12:28:01.987Z</dcterms:modified>
</cp:coreProperties>
</file>

<file path=docProps/custom.xml><?xml version="1.0" encoding="utf-8"?>
<Properties xmlns="http://schemas.openxmlformats.org/officeDocument/2006/custom-properties" xmlns:vt="http://schemas.openxmlformats.org/officeDocument/2006/docPropsVTypes"/>
</file>